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9E" w:rsidRDefault="00D97E9E" w:rsidP="00280410">
      <w:pPr>
        <w:pStyle w:val="a9"/>
        <w:jc w:val="left"/>
      </w:pPr>
    </w:p>
    <w:p w:rsidR="00046120" w:rsidRPr="007424A2" w:rsidRDefault="00D97E9E" w:rsidP="007424A2">
      <w:pPr>
        <w:pStyle w:val="a9"/>
        <w:rPr>
          <w:b/>
          <w:sz w:val="28"/>
          <w:szCs w:val="28"/>
        </w:rPr>
      </w:pPr>
      <w:r w:rsidRPr="00280410">
        <w:rPr>
          <w:b/>
          <w:sz w:val="28"/>
          <w:szCs w:val="28"/>
        </w:rPr>
        <w:t>Сведения о доходах,</w:t>
      </w:r>
      <w:r w:rsidR="008D4944">
        <w:rPr>
          <w:b/>
          <w:sz w:val="28"/>
          <w:szCs w:val="28"/>
        </w:rPr>
        <w:t xml:space="preserve"> расходах,</w:t>
      </w:r>
      <w:r w:rsidRPr="00280410">
        <w:rPr>
          <w:b/>
          <w:sz w:val="28"/>
          <w:szCs w:val="28"/>
        </w:rPr>
        <w:t xml:space="preserve"> об имуществе и обязательствах </w:t>
      </w:r>
      <w:r w:rsidR="008427B4">
        <w:rPr>
          <w:b/>
          <w:sz w:val="28"/>
          <w:szCs w:val="28"/>
        </w:rPr>
        <w:t xml:space="preserve">имущественного характера депутатов </w:t>
      </w:r>
      <w:r w:rsidRPr="00280410">
        <w:rPr>
          <w:b/>
          <w:sz w:val="28"/>
          <w:szCs w:val="28"/>
        </w:rPr>
        <w:t xml:space="preserve"> </w:t>
      </w:r>
      <w:proofErr w:type="spellStart"/>
      <w:r w:rsidRPr="00280410">
        <w:rPr>
          <w:b/>
          <w:sz w:val="28"/>
          <w:szCs w:val="28"/>
        </w:rPr>
        <w:t>Виноградненского</w:t>
      </w:r>
      <w:proofErr w:type="spellEnd"/>
      <w:r w:rsidRPr="00280410">
        <w:rPr>
          <w:b/>
          <w:sz w:val="28"/>
          <w:szCs w:val="28"/>
        </w:rPr>
        <w:t xml:space="preserve"> сельского муниципального образования Республики Калмыкия  и членов их</w:t>
      </w:r>
      <w:r w:rsidR="002F2E9B" w:rsidRPr="00280410">
        <w:rPr>
          <w:b/>
          <w:sz w:val="28"/>
          <w:szCs w:val="28"/>
        </w:rPr>
        <w:t xml:space="preserve"> семей за период с 1 янв</w:t>
      </w:r>
      <w:r w:rsidR="007E1C4E">
        <w:rPr>
          <w:b/>
          <w:sz w:val="28"/>
          <w:szCs w:val="28"/>
        </w:rPr>
        <w:t>аря 2023 года по 31 декабря 2023</w:t>
      </w:r>
      <w:r w:rsidRPr="00280410">
        <w:rPr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2"/>
        <w:gridCol w:w="4796"/>
        <w:gridCol w:w="7088"/>
      </w:tblGrid>
      <w:tr w:rsidR="000D067B" w:rsidTr="000D067B">
        <w:tc>
          <w:tcPr>
            <w:tcW w:w="0" w:type="auto"/>
          </w:tcPr>
          <w:p w:rsid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4729B2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Бембинова </w:t>
            </w:r>
          </w:p>
          <w:p w:rsid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4729B2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Байрта</w:t>
            </w:r>
            <w:proofErr w:type="spellEnd"/>
            <w:r w:rsidRPr="004729B2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 </w:t>
            </w:r>
          </w:p>
          <w:p w:rsid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4729B2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796" w:type="dxa"/>
          </w:tcPr>
          <w:p w:rsidR="000D067B" w:rsidRPr="004729B2" w:rsidRDefault="000D067B" w:rsidP="000D067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0D067B" w:rsidRDefault="000D067B" w:rsidP="000D067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r w:rsidR="007E1C4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D067B" w:rsidTr="000D067B">
        <w:tc>
          <w:tcPr>
            <w:tcW w:w="0" w:type="auto"/>
          </w:tcPr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0D067B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Акимова Татьяна Алексеевна</w:t>
            </w:r>
          </w:p>
        </w:tc>
        <w:tc>
          <w:tcPr>
            <w:tcW w:w="4796" w:type="dxa"/>
          </w:tcPr>
          <w:p w:rsidR="000D067B" w:rsidRPr="004729B2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0D067B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r w:rsidR="007E1C4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D067B" w:rsidTr="000D067B">
        <w:tc>
          <w:tcPr>
            <w:tcW w:w="0" w:type="auto"/>
          </w:tcPr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</w:pPr>
            <w:proofErr w:type="spellStart"/>
            <w:r w:rsidRPr="000D067B"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  <w:t>Аппина</w:t>
            </w:r>
            <w:proofErr w:type="spellEnd"/>
          </w:p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</w:pPr>
            <w:r w:rsidRPr="000D067B"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  <w:t xml:space="preserve"> Евгения </w:t>
            </w:r>
          </w:p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</w:pPr>
            <w:r w:rsidRPr="000D067B"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  <w:t>Алексеевна</w:t>
            </w:r>
          </w:p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</w:tcPr>
          <w:p w:rsidR="000D067B" w:rsidRPr="004729B2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0D067B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r w:rsidR="007E1C4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Бауман Татьяна Васильевна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r w:rsidR="007E1C4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Ровшан</w:t>
            </w:r>
            <w:proofErr w:type="spellEnd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Мухтасим</w:t>
            </w:r>
            <w:proofErr w:type="spellEnd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 xml:space="preserve">Предоставлено уведомление об отсутствии сделок,                                            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 xml:space="preserve">предусмотренные частью 1 статьи 3 </w:t>
            </w:r>
            <w:r w:rsidR="007E1C4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lastRenderedPageBreak/>
              <w:t>Маслей</w:t>
            </w:r>
          </w:p>
          <w:p w:rsidR="00EC7751" w:rsidRPr="00EC7751" w:rsidRDefault="00EC7751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Татьяна</w:t>
            </w:r>
          </w:p>
          <w:p w:rsidR="00EC7751" w:rsidRPr="004729B2" w:rsidRDefault="00EC7751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r w:rsidR="007E1C4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Пономарева Елена Владимировна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r w:rsidR="007E1C4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Швыдкий</w:t>
            </w:r>
            <w:proofErr w:type="spellEnd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 Виталий Николаеви</w:t>
            </w:r>
            <w:r w:rsidR="00CD718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r w:rsidR="007E1C4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Юношева</w:t>
            </w:r>
            <w:proofErr w:type="spellEnd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r w:rsidR="007E1C4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</w:tbl>
    <w:p w:rsidR="00EC7751" w:rsidRDefault="00EC7751" w:rsidP="00BB0A9B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EC7751" w:rsidRDefault="00EC7751" w:rsidP="00BB0A9B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7365EA" w:rsidRDefault="007365EA" w:rsidP="007365EA">
      <w:pPr>
        <w:pBdr>
          <w:top w:val="single" w:sz="4" w:space="24" w:color="auto"/>
        </w:pBdr>
      </w:pPr>
    </w:p>
    <w:p w:rsidR="005A643D" w:rsidRPr="007365EA" w:rsidRDefault="005A643D" w:rsidP="007365EA"/>
    <w:sectPr w:rsidR="005A643D" w:rsidRPr="007365EA" w:rsidSect="00493F3E">
      <w:pgSz w:w="16838" w:h="11906" w:orient="landscape"/>
      <w:pgMar w:top="42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77" w:rsidRDefault="00D71977" w:rsidP="00493F3E">
      <w:pPr>
        <w:spacing w:after="0" w:line="240" w:lineRule="auto"/>
      </w:pPr>
      <w:r>
        <w:separator/>
      </w:r>
    </w:p>
  </w:endnote>
  <w:endnote w:type="continuationSeparator" w:id="0">
    <w:p w:rsidR="00D71977" w:rsidRDefault="00D71977" w:rsidP="0049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77" w:rsidRDefault="00D71977" w:rsidP="00493F3E">
      <w:pPr>
        <w:spacing w:after="0" w:line="240" w:lineRule="auto"/>
      </w:pPr>
      <w:r>
        <w:separator/>
      </w:r>
    </w:p>
  </w:footnote>
  <w:footnote w:type="continuationSeparator" w:id="0">
    <w:p w:rsidR="00D71977" w:rsidRDefault="00D71977" w:rsidP="00493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46"/>
    <w:rsid w:val="00000342"/>
    <w:rsid w:val="00015155"/>
    <w:rsid w:val="0003715F"/>
    <w:rsid w:val="00046120"/>
    <w:rsid w:val="000A3742"/>
    <w:rsid w:val="000D067B"/>
    <w:rsid w:val="000F280D"/>
    <w:rsid w:val="000F7968"/>
    <w:rsid w:val="00116557"/>
    <w:rsid w:val="001253F9"/>
    <w:rsid w:val="00157826"/>
    <w:rsid w:val="001661DD"/>
    <w:rsid w:val="00183397"/>
    <w:rsid w:val="00190C33"/>
    <w:rsid w:val="002129FA"/>
    <w:rsid w:val="00222AC1"/>
    <w:rsid w:val="00241980"/>
    <w:rsid w:val="00247475"/>
    <w:rsid w:val="00280410"/>
    <w:rsid w:val="002B6C84"/>
    <w:rsid w:val="002F2E9B"/>
    <w:rsid w:val="00365425"/>
    <w:rsid w:val="00383844"/>
    <w:rsid w:val="003A3BD8"/>
    <w:rsid w:val="003B0489"/>
    <w:rsid w:val="003B0F71"/>
    <w:rsid w:val="003F3F35"/>
    <w:rsid w:val="004048B0"/>
    <w:rsid w:val="00416B1E"/>
    <w:rsid w:val="00417446"/>
    <w:rsid w:val="00431F52"/>
    <w:rsid w:val="00455B46"/>
    <w:rsid w:val="004729B2"/>
    <w:rsid w:val="004756DA"/>
    <w:rsid w:val="00485D35"/>
    <w:rsid w:val="00493F3E"/>
    <w:rsid w:val="004A5C00"/>
    <w:rsid w:val="004A7CF9"/>
    <w:rsid w:val="004C7C91"/>
    <w:rsid w:val="004F480D"/>
    <w:rsid w:val="004F5CEB"/>
    <w:rsid w:val="005977CE"/>
    <w:rsid w:val="005A53F7"/>
    <w:rsid w:val="005A643D"/>
    <w:rsid w:val="005B4573"/>
    <w:rsid w:val="005D5CC9"/>
    <w:rsid w:val="005F633F"/>
    <w:rsid w:val="006210A6"/>
    <w:rsid w:val="006333C5"/>
    <w:rsid w:val="006535DA"/>
    <w:rsid w:val="00662421"/>
    <w:rsid w:val="00682705"/>
    <w:rsid w:val="00686EE3"/>
    <w:rsid w:val="006A0383"/>
    <w:rsid w:val="006B311E"/>
    <w:rsid w:val="006B689C"/>
    <w:rsid w:val="006C3CAD"/>
    <w:rsid w:val="006E52BD"/>
    <w:rsid w:val="00700BEF"/>
    <w:rsid w:val="00702690"/>
    <w:rsid w:val="007365EA"/>
    <w:rsid w:val="007424A2"/>
    <w:rsid w:val="0074325E"/>
    <w:rsid w:val="00744848"/>
    <w:rsid w:val="007746FC"/>
    <w:rsid w:val="007857FD"/>
    <w:rsid w:val="00793132"/>
    <w:rsid w:val="007A3C1F"/>
    <w:rsid w:val="007A58E9"/>
    <w:rsid w:val="007E1C4E"/>
    <w:rsid w:val="007E3472"/>
    <w:rsid w:val="007E4F8F"/>
    <w:rsid w:val="007F24C3"/>
    <w:rsid w:val="00815B65"/>
    <w:rsid w:val="008276DF"/>
    <w:rsid w:val="008427B4"/>
    <w:rsid w:val="0085175B"/>
    <w:rsid w:val="008C1E2B"/>
    <w:rsid w:val="008D2D68"/>
    <w:rsid w:val="008D3D6D"/>
    <w:rsid w:val="008D4944"/>
    <w:rsid w:val="008F7D21"/>
    <w:rsid w:val="00906D2B"/>
    <w:rsid w:val="00920B67"/>
    <w:rsid w:val="009233C9"/>
    <w:rsid w:val="00923415"/>
    <w:rsid w:val="00943C64"/>
    <w:rsid w:val="00955C77"/>
    <w:rsid w:val="0095715F"/>
    <w:rsid w:val="0097082C"/>
    <w:rsid w:val="00971A6F"/>
    <w:rsid w:val="00972AF8"/>
    <w:rsid w:val="00980454"/>
    <w:rsid w:val="009C2BA4"/>
    <w:rsid w:val="00A00463"/>
    <w:rsid w:val="00A316B5"/>
    <w:rsid w:val="00A45C60"/>
    <w:rsid w:val="00A7083A"/>
    <w:rsid w:val="00A811A4"/>
    <w:rsid w:val="00B0354E"/>
    <w:rsid w:val="00B26EC5"/>
    <w:rsid w:val="00B633F7"/>
    <w:rsid w:val="00B6531D"/>
    <w:rsid w:val="00B703F6"/>
    <w:rsid w:val="00BB0A9B"/>
    <w:rsid w:val="00BF296B"/>
    <w:rsid w:val="00C02D43"/>
    <w:rsid w:val="00C14E94"/>
    <w:rsid w:val="00C2139B"/>
    <w:rsid w:val="00C6683F"/>
    <w:rsid w:val="00C84827"/>
    <w:rsid w:val="00C93B9F"/>
    <w:rsid w:val="00CC7E22"/>
    <w:rsid w:val="00CD0436"/>
    <w:rsid w:val="00CD3E66"/>
    <w:rsid w:val="00CD7181"/>
    <w:rsid w:val="00CE551A"/>
    <w:rsid w:val="00CF2B55"/>
    <w:rsid w:val="00D41886"/>
    <w:rsid w:val="00D71977"/>
    <w:rsid w:val="00D8155C"/>
    <w:rsid w:val="00D91E67"/>
    <w:rsid w:val="00D97E9E"/>
    <w:rsid w:val="00DD3A33"/>
    <w:rsid w:val="00DE3370"/>
    <w:rsid w:val="00E258D2"/>
    <w:rsid w:val="00E8522E"/>
    <w:rsid w:val="00E9355A"/>
    <w:rsid w:val="00EC7751"/>
    <w:rsid w:val="00ED2BF5"/>
    <w:rsid w:val="00F43791"/>
    <w:rsid w:val="00F508C4"/>
    <w:rsid w:val="00F54F9C"/>
    <w:rsid w:val="00F875CE"/>
    <w:rsid w:val="00F916E5"/>
    <w:rsid w:val="00FA4ABE"/>
    <w:rsid w:val="00FA7FCE"/>
    <w:rsid w:val="00FE3DFD"/>
    <w:rsid w:val="00FF2DEF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3E"/>
  </w:style>
  <w:style w:type="paragraph" w:styleId="a7">
    <w:name w:val="footer"/>
    <w:basedOn w:val="a"/>
    <w:link w:val="a8"/>
    <w:uiPriority w:val="99"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3E"/>
  </w:style>
  <w:style w:type="paragraph" w:styleId="a9">
    <w:name w:val="Body Text"/>
    <w:basedOn w:val="a"/>
    <w:link w:val="aa"/>
    <w:unhideWhenUsed/>
    <w:rsid w:val="007A3C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120"/>
    <w:rPr>
      <w:rFonts w:ascii="Tahoma" w:hAnsi="Tahoma" w:cs="Tahoma"/>
      <w:sz w:val="16"/>
      <w:szCs w:val="16"/>
    </w:rPr>
  </w:style>
  <w:style w:type="paragraph" w:customStyle="1" w:styleId="ConsPlusCell">
    <w:name w:val="ConsPlusCell"/>
    <w:semiHidden/>
    <w:rsid w:val="00D8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580DE-385E-4DB2-867A-4BB96EA1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smo</cp:lastModifiedBy>
  <cp:revision>54</cp:revision>
  <dcterms:created xsi:type="dcterms:W3CDTF">2013-05-14T05:42:00Z</dcterms:created>
  <dcterms:modified xsi:type="dcterms:W3CDTF">2024-04-05T08:15:00Z</dcterms:modified>
</cp:coreProperties>
</file>